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B857">
      <w:pPr>
        <w:keepNext w:val="0"/>
        <w:keepLines w:val="0"/>
        <w:pageBreakBefore w:val="0"/>
        <w:widowControl/>
        <w:kinsoku/>
        <w:wordWrap/>
        <w:overflowPunct w:val="0"/>
        <w:topLinePunct w:val="0"/>
        <w:autoSpaceDE/>
        <w:autoSpaceDN/>
        <w:bidi w:val="0"/>
        <w:adjustRightInd/>
        <w:snapToGrid w:val="0"/>
        <w:spacing w:before="157" w:beforeLines="50" w:line="550" w:lineRule="exact"/>
        <w:jc w:val="left"/>
        <w:textAlignment w:val="auto"/>
        <w:rPr>
          <w:rFonts w:hint="eastAsia" w:ascii="方正楷体_GBK" w:hAnsi="仿宋" w:eastAsia="方正楷体_GBK" w:cs="Times New Roman"/>
          <w:b w:val="0"/>
          <w:bCs/>
          <w:color w:val="000000"/>
          <w:sz w:val="30"/>
          <w:szCs w:val="30"/>
          <w:lang w:val="en-US" w:eastAsia="zh-CN"/>
        </w:rPr>
      </w:pPr>
      <w:r>
        <w:rPr>
          <w:rFonts w:hint="eastAsia" w:ascii="方正楷体_GBK" w:hAnsi="仿宋" w:eastAsia="方正楷体_GBK" w:cs="Times New Roman"/>
          <w:b w:val="0"/>
          <w:bCs/>
          <w:color w:val="000000"/>
          <w:sz w:val="30"/>
          <w:szCs w:val="30"/>
          <w:lang w:val="en-US" w:eastAsia="zh-CN"/>
        </w:rPr>
        <w:t>附件2</w:t>
      </w:r>
    </w:p>
    <w:p w14:paraId="169AC530">
      <w:pPr>
        <w:keepNext w:val="0"/>
        <w:keepLines w:val="0"/>
        <w:pageBreakBefore w:val="0"/>
        <w:widowControl/>
        <w:kinsoku/>
        <w:wordWrap/>
        <w:overflowPunct w:val="0"/>
        <w:topLinePunct w:val="0"/>
        <w:autoSpaceDE/>
        <w:autoSpaceDN/>
        <w:bidi w:val="0"/>
        <w:adjustRightInd/>
        <w:snapToGrid w:val="0"/>
        <w:spacing w:before="157" w:beforeLines="50" w:line="550" w:lineRule="exact"/>
        <w:jc w:val="left"/>
        <w:textAlignment w:val="auto"/>
        <w:rPr>
          <w:rFonts w:hint="eastAsia" w:ascii="方正楷体_GBK" w:hAnsi="仿宋" w:eastAsia="方正楷体_GBK" w:cs="Times New Roman"/>
          <w:b w:val="0"/>
          <w:bCs/>
          <w:color w:val="000000"/>
          <w:sz w:val="30"/>
          <w:szCs w:val="30"/>
          <w:lang w:val="en-US" w:eastAsia="zh-CN"/>
        </w:rPr>
      </w:pPr>
      <w:r>
        <w:rPr>
          <w:rFonts w:hint="eastAsia" w:ascii="方正楷体_GBK" w:hAnsi="仿宋" w:eastAsia="方正楷体_GBK" w:cs="Times New Roman"/>
          <w:b w:val="0"/>
          <w:bCs/>
          <w:color w:val="000000"/>
          <w:sz w:val="30"/>
          <w:szCs w:val="30"/>
          <w:lang w:val="en-US" w:eastAsia="zh-CN"/>
        </w:rPr>
        <w:t>投标文件应当至少包括以下内容：</w:t>
      </w:r>
    </w:p>
    <w:tbl>
      <w:tblPr>
        <w:tblStyle w:val="7"/>
        <w:tblW w:w="4998" w:type="pct"/>
        <w:tblInd w:w="0" w:type="dxa"/>
        <w:tblLayout w:type="autofit"/>
        <w:tblCellMar>
          <w:top w:w="0" w:type="dxa"/>
          <w:left w:w="108" w:type="dxa"/>
          <w:bottom w:w="0" w:type="dxa"/>
          <w:right w:w="108" w:type="dxa"/>
        </w:tblCellMar>
      </w:tblPr>
      <w:tblGrid>
        <w:gridCol w:w="864"/>
        <w:gridCol w:w="1290"/>
        <w:gridCol w:w="6365"/>
      </w:tblGrid>
      <w:tr w14:paraId="0AFF92BE">
        <w:tblPrEx>
          <w:tblCellMar>
            <w:top w:w="0" w:type="dxa"/>
            <w:left w:w="108" w:type="dxa"/>
            <w:bottom w:w="0" w:type="dxa"/>
            <w:right w:w="108" w:type="dxa"/>
          </w:tblCellMar>
        </w:tblPrEx>
        <w:trPr>
          <w:trHeight w:val="6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8546">
            <w:pPr>
              <w:widowControl/>
              <w:jc w:val="center"/>
              <w:textAlignment w:val="center"/>
              <w:rPr>
                <w:rFonts w:hint="eastAsia" w:ascii="方正楷体_GBK" w:hAnsi="方正楷体_GBK" w:eastAsia="方正楷体_GBK" w:cs="方正楷体_GBK"/>
                <w:b/>
                <w:bCs/>
                <w:color w:val="000000"/>
                <w:sz w:val="22"/>
                <w:szCs w:val="22"/>
              </w:rPr>
            </w:pPr>
            <w:r>
              <w:rPr>
                <w:rFonts w:hint="eastAsia" w:ascii="方正楷体_GBK" w:hAnsi="方正楷体_GBK" w:eastAsia="方正楷体_GBK" w:cs="方正楷体_GBK"/>
                <w:b/>
                <w:bCs/>
                <w:color w:val="000000"/>
                <w:kern w:val="0"/>
                <w:sz w:val="22"/>
                <w:szCs w:val="22"/>
                <w:lang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A92A">
            <w:pPr>
              <w:widowControl/>
              <w:jc w:val="center"/>
              <w:textAlignment w:val="center"/>
              <w:rPr>
                <w:rFonts w:hint="eastAsia" w:ascii="方正楷体_GBK" w:hAnsi="方正楷体_GBK" w:eastAsia="方正楷体_GBK" w:cs="方正楷体_GBK"/>
                <w:b/>
                <w:bCs/>
                <w:color w:val="000000"/>
                <w:sz w:val="22"/>
                <w:szCs w:val="22"/>
              </w:rPr>
            </w:pPr>
            <w:r>
              <w:rPr>
                <w:rFonts w:hint="eastAsia" w:ascii="方正楷体_GBK" w:hAnsi="方正楷体_GBK" w:eastAsia="方正楷体_GBK" w:cs="方正楷体_GBK"/>
                <w:b/>
                <w:bCs/>
                <w:color w:val="000000"/>
                <w:kern w:val="0"/>
                <w:sz w:val="22"/>
                <w:szCs w:val="22"/>
                <w:lang w:bidi="ar"/>
              </w:rPr>
              <w:t>类别</w:t>
            </w:r>
          </w:p>
        </w:tc>
        <w:tc>
          <w:tcPr>
            <w:tcW w:w="37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AF30">
            <w:pPr>
              <w:widowControl/>
              <w:jc w:val="center"/>
              <w:textAlignment w:val="center"/>
              <w:rPr>
                <w:rFonts w:hint="eastAsia" w:ascii="方正楷体_GBK" w:hAnsi="方正楷体_GBK" w:eastAsia="方正楷体_GBK" w:cs="方正楷体_GBK"/>
                <w:b/>
                <w:bCs/>
                <w:color w:val="000000"/>
                <w:sz w:val="22"/>
                <w:szCs w:val="22"/>
              </w:rPr>
            </w:pPr>
            <w:r>
              <w:rPr>
                <w:rFonts w:hint="eastAsia" w:ascii="方正楷体_GBK" w:hAnsi="方正楷体_GBK" w:eastAsia="方正楷体_GBK" w:cs="方正楷体_GBK"/>
                <w:b/>
                <w:bCs/>
                <w:color w:val="000000"/>
                <w:kern w:val="0"/>
                <w:sz w:val="22"/>
                <w:szCs w:val="22"/>
                <w:lang w:bidi="ar"/>
              </w:rPr>
              <w:t>说明</w:t>
            </w:r>
          </w:p>
        </w:tc>
      </w:tr>
      <w:tr w14:paraId="0B5188D7">
        <w:tblPrEx>
          <w:tblCellMar>
            <w:top w:w="0" w:type="dxa"/>
            <w:left w:w="108" w:type="dxa"/>
            <w:bottom w:w="0" w:type="dxa"/>
            <w:right w:w="108" w:type="dxa"/>
          </w:tblCellMar>
        </w:tblPrEx>
        <w:trPr>
          <w:trHeight w:val="825"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D2F62">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F8A75">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val="en-US" w:eastAsia="zh-CN" w:bidi="ar"/>
              </w:rPr>
              <w:t>资质条件</w:t>
            </w:r>
            <w:r>
              <w:rPr>
                <w:rFonts w:hint="eastAsia" w:ascii="方正楷体_GBK" w:hAnsi="方正楷体_GBK" w:eastAsia="方正楷体_GBK" w:cs="方正楷体_GBK"/>
                <w:color w:val="000000"/>
                <w:kern w:val="0"/>
                <w:sz w:val="24"/>
                <w:szCs w:val="24"/>
                <w:lang w:bidi="ar"/>
              </w:rPr>
              <w:t xml:space="preserve">   </w:t>
            </w:r>
          </w:p>
        </w:tc>
        <w:tc>
          <w:tcPr>
            <w:tcW w:w="37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12DD4">
            <w:pPr>
              <w:keepNext w:val="0"/>
              <w:keepLines w:val="0"/>
              <w:pageBreakBefore w:val="0"/>
              <w:widowControl/>
              <w:numPr>
                <w:ilvl w:val="0"/>
                <w:numId w:val="1"/>
              </w:numPr>
              <w:kinsoku/>
              <w:wordWrap/>
              <w:overflowPunct/>
              <w:topLinePunct w:val="0"/>
              <w:autoSpaceDE/>
              <w:autoSpaceDN/>
              <w:bidi w:val="0"/>
              <w:adjustRightInd/>
              <w:snapToGrid w:val="0"/>
              <w:jc w:val="left"/>
              <w:textAlignment w:val="center"/>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rPr>
              <w:t>具备</w:t>
            </w:r>
            <w:r>
              <w:rPr>
                <w:rFonts w:hint="eastAsia" w:ascii="方正楷体_GBK" w:hAnsi="方正楷体_GBK" w:eastAsia="方正楷体_GBK" w:cs="方正楷体_GBK"/>
                <w:color w:val="000000"/>
                <w:sz w:val="24"/>
                <w:szCs w:val="24"/>
                <w:lang w:val="en-US" w:eastAsia="zh-CN"/>
              </w:rPr>
              <w:t>办理</w:t>
            </w:r>
            <w:r>
              <w:rPr>
                <w:rFonts w:hint="eastAsia" w:ascii="方正楷体_GBK" w:hAnsi="方正楷体_GBK" w:eastAsia="方正楷体_GBK" w:cs="方正楷体_GBK"/>
                <w:color w:val="000000"/>
                <w:sz w:val="24"/>
                <w:szCs w:val="24"/>
              </w:rPr>
              <w:t>外汇业务所需资质条件</w:t>
            </w:r>
            <w:r>
              <w:rPr>
                <w:rFonts w:hint="eastAsia" w:ascii="方正楷体_GBK" w:hAnsi="方正楷体_GBK" w:eastAsia="方正楷体_GBK" w:cs="方正楷体_GBK"/>
                <w:color w:val="000000"/>
                <w:sz w:val="24"/>
                <w:szCs w:val="24"/>
                <w:lang w:val="en-US" w:eastAsia="zh-CN"/>
              </w:rPr>
              <w:t>的证明；</w:t>
            </w:r>
          </w:p>
          <w:p w14:paraId="467CF559">
            <w:pPr>
              <w:keepNext w:val="0"/>
              <w:keepLines w:val="0"/>
              <w:pageBreakBefore w:val="0"/>
              <w:widowControl/>
              <w:numPr>
                <w:ilvl w:val="0"/>
                <w:numId w:val="1"/>
              </w:numPr>
              <w:kinsoku/>
              <w:wordWrap/>
              <w:overflowPunct/>
              <w:topLinePunct w:val="0"/>
              <w:autoSpaceDE/>
              <w:autoSpaceDN/>
              <w:bidi w:val="0"/>
              <w:adjustRightInd/>
              <w:snapToGrid w:val="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rPr>
              <w:t>近</w:t>
            </w:r>
            <w:r>
              <w:rPr>
                <w:rFonts w:hint="eastAsia" w:ascii="方正楷体_GBK" w:hAnsi="方正楷体_GBK" w:eastAsia="方正楷体_GBK" w:cs="方正楷体_GBK"/>
                <w:color w:val="000000"/>
                <w:sz w:val="24"/>
                <w:szCs w:val="24"/>
                <w:lang w:val="en-US" w:eastAsia="zh-CN"/>
              </w:rPr>
              <w:t>3</w:t>
            </w:r>
            <w:r>
              <w:rPr>
                <w:rFonts w:hint="eastAsia" w:ascii="方正楷体_GBK" w:hAnsi="方正楷体_GBK" w:eastAsia="方正楷体_GBK" w:cs="方正楷体_GBK"/>
                <w:color w:val="000000"/>
                <w:sz w:val="24"/>
                <w:szCs w:val="24"/>
              </w:rPr>
              <w:t>年的外汇业务合规与审慎经营评级</w:t>
            </w:r>
            <w:r>
              <w:rPr>
                <w:rFonts w:hint="eastAsia" w:ascii="方正楷体_GBK" w:hAnsi="方正楷体_GBK" w:eastAsia="方正楷体_GBK" w:cs="方正楷体_GBK"/>
                <w:color w:val="000000"/>
                <w:sz w:val="24"/>
                <w:szCs w:val="24"/>
                <w:lang w:eastAsia="zh-CN"/>
              </w:rPr>
              <w:t>（</w:t>
            </w:r>
            <w:r>
              <w:rPr>
                <w:rFonts w:hint="eastAsia" w:ascii="方正楷体_GBK" w:hAnsi="方正楷体_GBK" w:eastAsia="方正楷体_GBK" w:cs="方正楷体_GBK"/>
                <w:color w:val="000000"/>
                <w:sz w:val="24"/>
                <w:szCs w:val="24"/>
                <w:lang w:val="en-US" w:eastAsia="zh-CN"/>
              </w:rPr>
              <w:t>外管局评级</w:t>
            </w:r>
            <w:r>
              <w:rPr>
                <w:rFonts w:hint="eastAsia" w:ascii="方正楷体_GBK" w:hAnsi="方正楷体_GBK" w:eastAsia="方正楷体_GBK" w:cs="方正楷体_GBK"/>
                <w:color w:val="000000"/>
                <w:sz w:val="24"/>
                <w:szCs w:val="24"/>
                <w:lang w:eastAsia="zh-CN"/>
              </w:rPr>
              <w:t>）；</w:t>
            </w:r>
          </w:p>
          <w:p w14:paraId="18414FED">
            <w:pPr>
              <w:keepNext w:val="0"/>
              <w:keepLines w:val="0"/>
              <w:pageBreakBefore w:val="0"/>
              <w:widowControl/>
              <w:numPr>
                <w:ilvl w:val="0"/>
                <w:numId w:val="1"/>
              </w:numPr>
              <w:kinsoku/>
              <w:wordWrap/>
              <w:overflowPunct/>
              <w:topLinePunct w:val="0"/>
              <w:autoSpaceDE/>
              <w:autoSpaceDN/>
              <w:bidi w:val="0"/>
              <w:adjustRightInd/>
              <w:snapToGrid w:val="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rPr>
              <w:t>境外分支机构情况</w:t>
            </w:r>
            <w:r>
              <w:rPr>
                <w:rFonts w:hint="eastAsia" w:ascii="方正楷体_GBK" w:hAnsi="方正楷体_GBK" w:eastAsia="方正楷体_GBK" w:cs="方正楷体_GBK"/>
                <w:color w:val="000000"/>
                <w:sz w:val="24"/>
                <w:szCs w:val="24"/>
                <w:lang w:eastAsia="zh-CN"/>
              </w:rPr>
              <w:t>（</w:t>
            </w:r>
            <w:r>
              <w:rPr>
                <w:rFonts w:hint="eastAsia" w:ascii="方正楷体_GBK" w:hAnsi="方正楷体_GBK" w:eastAsia="方正楷体_GBK" w:cs="方正楷体_GBK"/>
                <w:color w:val="000000"/>
                <w:sz w:val="24"/>
                <w:szCs w:val="24"/>
                <w:lang w:val="en-US" w:eastAsia="zh-CN"/>
              </w:rPr>
              <w:t>说明各地分支机构的具体情况以及该机构在国际清算过程中的作用）；</w:t>
            </w:r>
          </w:p>
          <w:p w14:paraId="1A12D5D2">
            <w:pPr>
              <w:keepNext w:val="0"/>
              <w:keepLines w:val="0"/>
              <w:pageBreakBefore w:val="0"/>
              <w:widowControl/>
              <w:numPr>
                <w:ilvl w:val="0"/>
                <w:numId w:val="1"/>
              </w:numPr>
              <w:kinsoku/>
              <w:wordWrap/>
              <w:overflowPunct/>
              <w:topLinePunct w:val="0"/>
              <w:autoSpaceDE/>
              <w:autoSpaceDN/>
              <w:bidi w:val="0"/>
              <w:adjustRightInd/>
              <w:snapToGrid w:val="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近3年和2024年至今无锡结售汇市场份额的排名（外管局统计数据）</w:t>
            </w:r>
          </w:p>
        </w:tc>
      </w:tr>
      <w:tr w14:paraId="387B2298">
        <w:tblPrEx>
          <w:tblCellMar>
            <w:top w:w="0" w:type="dxa"/>
            <w:left w:w="108" w:type="dxa"/>
            <w:bottom w:w="0" w:type="dxa"/>
            <w:right w:w="108" w:type="dxa"/>
          </w:tblCellMar>
        </w:tblPrEx>
        <w:trPr>
          <w:trHeight w:val="555"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AE2F">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F28A1">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 xml:space="preserve">业务方案  </w:t>
            </w:r>
          </w:p>
        </w:tc>
        <w:tc>
          <w:tcPr>
            <w:tcW w:w="37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D20F1">
            <w:pPr>
              <w:keepNext w:val="0"/>
              <w:keepLines w:val="0"/>
              <w:pageBreakBefore w:val="0"/>
              <w:widowControl/>
              <w:kinsoku/>
              <w:wordWrap/>
              <w:overflowPunct/>
              <w:topLinePunct w:val="0"/>
              <w:autoSpaceDE/>
              <w:autoSpaceDN/>
              <w:bidi w:val="0"/>
              <w:adjustRightInd/>
              <w:snapToGrid w:val="0"/>
              <w:jc w:val="left"/>
              <w:textAlignment w:val="center"/>
              <w:rPr>
                <w:rFonts w:hint="eastAsia"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分项目</w:t>
            </w:r>
            <w:r>
              <w:rPr>
                <w:rFonts w:hint="eastAsia" w:ascii="方正楷体_GBK" w:hAnsi="方正楷体_GBK" w:eastAsia="方正楷体_GBK" w:cs="方正楷体_GBK"/>
                <w:color w:val="000000"/>
                <w:kern w:val="0"/>
                <w:sz w:val="24"/>
                <w:szCs w:val="24"/>
                <w:lang w:bidi="ar"/>
              </w:rPr>
              <w:t>说明办理本次外汇业务的</w:t>
            </w:r>
            <w:r>
              <w:rPr>
                <w:rFonts w:hint="eastAsia" w:ascii="方正楷体_GBK" w:hAnsi="方正楷体_GBK" w:eastAsia="方正楷体_GBK" w:cs="方正楷体_GBK"/>
                <w:color w:val="000000"/>
                <w:kern w:val="0"/>
                <w:sz w:val="24"/>
                <w:szCs w:val="24"/>
                <w:lang w:val="en-US" w:eastAsia="zh-CN" w:bidi="ar"/>
              </w:rPr>
              <w:t>具体</w:t>
            </w:r>
            <w:r>
              <w:rPr>
                <w:rFonts w:hint="eastAsia" w:ascii="方正楷体_GBK" w:hAnsi="方正楷体_GBK" w:eastAsia="方正楷体_GBK" w:cs="方正楷体_GBK"/>
                <w:color w:val="000000"/>
                <w:kern w:val="0"/>
                <w:sz w:val="24"/>
                <w:szCs w:val="24"/>
                <w:lang w:bidi="ar"/>
              </w:rPr>
              <w:t>方案，包括</w:t>
            </w:r>
            <w:r>
              <w:rPr>
                <w:rFonts w:hint="eastAsia" w:ascii="方正楷体_GBK" w:hAnsi="方正楷体_GBK" w:eastAsia="方正楷体_GBK" w:cs="方正楷体_GBK"/>
                <w:color w:val="000000"/>
                <w:kern w:val="0"/>
                <w:sz w:val="24"/>
                <w:szCs w:val="24"/>
                <w:lang w:val="en-US" w:eastAsia="zh-CN" w:bidi="ar"/>
              </w:rPr>
              <w:t>但不限于：</w:t>
            </w:r>
          </w:p>
          <w:p w14:paraId="7E7B0996">
            <w:pPr>
              <w:keepNext w:val="0"/>
              <w:keepLines w:val="0"/>
              <w:pageBreakBefore w:val="0"/>
              <w:widowControl/>
              <w:numPr>
                <w:ilvl w:val="0"/>
                <w:numId w:val="2"/>
              </w:numPr>
              <w:kinsoku/>
              <w:wordWrap/>
              <w:overflowPunct/>
              <w:topLinePunct w:val="0"/>
              <w:autoSpaceDE/>
              <w:autoSpaceDN/>
              <w:bidi w:val="0"/>
              <w:adjustRightInd/>
              <w:snapToGrid w:val="0"/>
              <w:jc w:val="left"/>
              <w:textAlignment w:val="center"/>
              <w:rPr>
                <w:rFonts w:hint="eastAsia"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备案登记</w:t>
            </w:r>
            <w:r>
              <w:rPr>
                <w:rFonts w:hint="eastAsia" w:ascii="方正楷体_GBK" w:hAnsi="方正楷体_GBK" w:eastAsia="方正楷体_GBK" w:cs="方正楷体_GBK"/>
                <w:color w:val="000000"/>
                <w:kern w:val="0"/>
                <w:sz w:val="24"/>
                <w:szCs w:val="24"/>
                <w:lang w:bidi="ar"/>
              </w:rPr>
              <w:t>、</w:t>
            </w:r>
            <w:r>
              <w:rPr>
                <w:rFonts w:hint="eastAsia" w:ascii="方正楷体_GBK" w:hAnsi="方正楷体_GBK" w:eastAsia="方正楷体_GBK" w:cs="方正楷体_GBK"/>
                <w:color w:val="000000"/>
                <w:kern w:val="0"/>
                <w:sz w:val="24"/>
                <w:szCs w:val="24"/>
                <w:lang w:val="en-US" w:eastAsia="zh-CN" w:bidi="ar"/>
              </w:rPr>
              <w:t>购汇</w:t>
            </w:r>
            <w:r>
              <w:rPr>
                <w:rFonts w:hint="eastAsia" w:ascii="方正楷体_GBK" w:hAnsi="方正楷体_GBK" w:eastAsia="方正楷体_GBK" w:cs="方正楷体_GBK"/>
                <w:color w:val="000000"/>
                <w:kern w:val="0"/>
                <w:sz w:val="24"/>
                <w:szCs w:val="24"/>
                <w:lang w:bidi="ar"/>
              </w:rPr>
              <w:t>所需的各类审批审查程序、各类文件资料</w:t>
            </w:r>
            <w:r>
              <w:rPr>
                <w:rFonts w:hint="eastAsia" w:ascii="方正楷体_GBK" w:hAnsi="方正楷体_GBK" w:eastAsia="方正楷体_GBK" w:cs="方正楷体_GBK"/>
                <w:color w:val="000000"/>
                <w:kern w:val="0"/>
                <w:sz w:val="24"/>
                <w:szCs w:val="24"/>
                <w:lang w:eastAsia="zh-CN" w:bidi="ar"/>
              </w:rPr>
              <w:t>（</w:t>
            </w:r>
            <w:r>
              <w:rPr>
                <w:rFonts w:hint="eastAsia" w:ascii="方正楷体_GBK" w:hAnsi="方正楷体_GBK" w:eastAsia="方正楷体_GBK" w:cs="方正楷体_GBK"/>
                <w:color w:val="000000"/>
                <w:kern w:val="0"/>
                <w:sz w:val="24"/>
                <w:szCs w:val="24"/>
                <w:lang w:val="en-US" w:eastAsia="zh-CN" w:bidi="ar"/>
              </w:rPr>
              <w:t>以及是否需要用印并编制需用印资料清单</w:t>
            </w:r>
            <w:r>
              <w:rPr>
                <w:rFonts w:hint="eastAsia" w:ascii="方正楷体_GBK" w:hAnsi="方正楷体_GBK" w:eastAsia="方正楷体_GBK" w:cs="方正楷体_GBK"/>
                <w:color w:val="000000"/>
                <w:kern w:val="0"/>
                <w:sz w:val="24"/>
                <w:szCs w:val="24"/>
                <w:lang w:eastAsia="zh-CN" w:bidi="ar"/>
              </w:rPr>
              <w:t>）、</w:t>
            </w:r>
            <w:r>
              <w:rPr>
                <w:rFonts w:hint="eastAsia" w:ascii="方正楷体_GBK" w:hAnsi="方正楷体_GBK" w:eastAsia="方正楷体_GBK" w:cs="方正楷体_GBK"/>
                <w:color w:val="000000"/>
                <w:kern w:val="0"/>
                <w:sz w:val="24"/>
                <w:szCs w:val="24"/>
                <w:lang w:val="en-US" w:eastAsia="zh-CN" w:bidi="ar"/>
              </w:rPr>
              <w:t>购汇当天的步骤及所需时间；</w:t>
            </w:r>
          </w:p>
          <w:p w14:paraId="19965D04">
            <w:pPr>
              <w:keepNext w:val="0"/>
              <w:keepLines w:val="0"/>
              <w:pageBreakBefore w:val="0"/>
              <w:widowControl/>
              <w:numPr>
                <w:ilvl w:val="0"/>
                <w:numId w:val="2"/>
              </w:numPr>
              <w:kinsoku/>
              <w:wordWrap/>
              <w:overflowPunct/>
              <w:topLinePunct w:val="0"/>
              <w:autoSpaceDE/>
              <w:autoSpaceDN/>
              <w:bidi w:val="0"/>
              <w:adjustRightInd/>
              <w:snapToGrid w:val="0"/>
              <w:ind w:left="0" w:leftChars="0" w:firstLine="0" w:firstLineChars="0"/>
              <w:jc w:val="left"/>
              <w:textAlignment w:val="center"/>
              <w:rPr>
                <w:rFonts w:hint="eastAsia" w:ascii="方正楷体_GBK" w:hAnsi="方正楷体_GBK" w:eastAsia="方正楷体_GBK" w:cs="方正楷体_GBK"/>
                <w:color w:val="000000"/>
                <w:kern w:val="0"/>
                <w:sz w:val="24"/>
                <w:szCs w:val="24"/>
                <w:lang w:eastAsia="zh-CN" w:bidi="ar"/>
              </w:rPr>
            </w:pPr>
            <w:r>
              <w:rPr>
                <w:rFonts w:hint="eastAsia" w:ascii="方正楷体_GBK" w:hAnsi="方正楷体_GBK" w:eastAsia="方正楷体_GBK" w:cs="方正楷体_GBK"/>
                <w:color w:val="000000"/>
                <w:kern w:val="0"/>
                <w:sz w:val="24"/>
                <w:szCs w:val="24"/>
                <w:lang w:bidi="ar"/>
              </w:rPr>
              <w:t>可供选择的</w:t>
            </w:r>
            <w:r>
              <w:rPr>
                <w:rFonts w:hint="eastAsia" w:ascii="方正楷体_GBK" w:hAnsi="方正楷体_GBK" w:eastAsia="方正楷体_GBK" w:cs="方正楷体_GBK"/>
                <w:color w:val="000000"/>
                <w:kern w:val="0"/>
                <w:sz w:val="24"/>
                <w:szCs w:val="24"/>
                <w:lang w:val="en-US" w:eastAsia="zh-CN" w:bidi="ar"/>
              </w:rPr>
              <w:t>购</w:t>
            </w:r>
            <w:r>
              <w:rPr>
                <w:rFonts w:hint="eastAsia" w:ascii="方正楷体_GBK" w:hAnsi="方正楷体_GBK" w:eastAsia="方正楷体_GBK" w:cs="方正楷体_GBK"/>
                <w:color w:val="000000"/>
                <w:kern w:val="0"/>
                <w:sz w:val="24"/>
                <w:szCs w:val="24"/>
                <w:lang w:bidi="ar"/>
              </w:rPr>
              <w:t>汇方案</w:t>
            </w:r>
            <w:r>
              <w:rPr>
                <w:rFonts w:hint="eastAsia" w:ascii="方正楷体_GBK" w:hAnsi="方正楷体_GBK" w:eastAsia="方正楷体_GBK" w:cs="方正楷体_GBK"/>
                <w:color w:val="000000"/>
                <w:kern w:val="0"/>
                <w:sz w:val="24"/>
                <w:szCs w:val="24"/>
                <w:lang w:eastAsia="zh-CN" w:bidi="ar"/>
              </w:rPr>
              <w:t>（</w:t>
            </w:r>
            <w:r>
              <w:rPr>
                <w:rFonts w:hint="eastAsia" w:ascii="方正楷体_GBK" w:hAnsi="方正楷体_GBK" w:eastAsia="方正楷体_GBK" w:cs="方正楷体_GBK"/>
                <w:color w:val="000000"/>
                <w:kern w:val="0"/>
                <w:sz w:val="24"/>
                <w:szCs w:val="24"/>
                <w:lang w:val="en-US" w:eastAsia="zh-CN" w:bidi="ar"/>
              </w:rPr>
              <w:t>是否可一笔购汇，单笔购汇的最大金额以及对购汇价格的影响，是否购汇金额越大优惠力度越大</w:t>
            </w:r>
            <w:r>
              <w:rPr>
                <w:rFonts w:hint="eastAsia" w:ascii="方正楷体_GBK" w:hAnsi="方正楷体_GBK" w:eastAsia="方正楷体_GBK" w:cs="方正楷体_GBK"/>
                <w:color w:val="000000"/>
                <w:kern w:val="0"/>
                <w:sz w:val="24"/>
                <w:szCs w:val="24"/>
                <w:lang w:eastAsia="zh-CN" w:bidi="ar"/>
              </w:rPr>
              <w:t>）</w:t>
            </w:r>
            <w:r>
              <w:rPr>
                <w:rFonts w:hint="eastAsia" w:ascii="方正楷体_GBK" w:hAnsi="方正楷体_GBK" w:eastAsia="方正楷体_GBK" w:cs="方正楷体_GBK"/>
                <w:color w:val="000000"/>
                <w:kern w:val="0"/>
                <w:sz w:val="24"/>
                <w:szCs w:val="24"/>
                <w:lang w:bidi="ar"/>
              </w:rPr>
              <w:t>、汇率优惠</w:t>
            </w:r>
            <w:r>
              <w:rPr>
                <w:rFonts w:hint="eastAsia" w:ascii="方正楷体_GBK" w:hAnsi="方正楷体_GBK" w:eastAsia="方正楷体_GBK" w:cs="方正楷体_GBK"/>
                <w:color w:val="000000"/>
                <w:kern w:val="0"/>
                <w:sz w:val="24"/>
                <w:szCs w:val="24"/>
                <w:lang w:eastAsia="zh-CN" w:bidi="ar"/>
              </w:rPr>
              <w:t>（</w:t>
            </w:r>
            <w:r>
              <w:rPr>
                <w:rFonts w:hint="eastAsia" w:ascii="方正楷体_GBK" w:hAnsi="方正楷体_GBK" w:eastAsia="方正楷体_GBK" w:cs="方正楷体_GBK"/>
                <w:color w:val="000000"/>
                <w:kern w:val="0"/>
                <w:sz w:val="24"/>
                <w:szCs w:val="24"/>
                <w:lang w:val="en-US" w:eastAsia="zh-CN" w:bidi="ar"/>
              </w:rPr>
              <w:t>请结合单笔购汇金额说明在挂牌价基础上可提供的最大幅度减点情况</w:t>
            </w:r>
            <w:r>
              <w:rPr>
                <w:rFonts w:hint="eastAsia" w:ascii="方正楷体_GBK" w:hAnsi="方正楷体_GBK" w:eastAsia="方正楷体_GBK" w:cs="方正楷体_GBK"/>
                <w:color w:val="000000"/>
                <w:kern w:val="0"/>
                <w:sz w:val="24"/>
                <w:szCs w:val="24"/>
                <w:lang w:eastAsia="zh-CN" w:bidi="ar"/>
              </w:rPr>
              <w:t>）、是否可以</w:t>
            </w:r>
            <w:r>
              <w:rPr>
                <w:rFonts w:hint="eastAsia" w:ascii="方正楷体_GBK" w:hAnsi="方正楷体_GBK" w:eastAsia="方正楷体_GBK" w:cs="方正楷体_GBK"/>
                <w:color w:val="000000"/>
                <w:kern w:val="0"/>
                <w:sz w:val="24"/>
                <w:szCs w:val="24"/>
                <w:lang w:val="en-US" w:eastAsia="zh-CN" w:bidi="ar"/>
              </w:rPr>
              <w:t>在</w:t>
            </w:r>
            <w:r>
              <w:rPr>
                <w:rFonts w:hint="eastAsia" w:ascii="方正楷体_GBK" w:hAnsi="方正楷体_GBK" w:eastAsia="方正楷体_GBK" w:cs="方正楷体_GBK"/>
                <w:color w:val="000000"/>
                <w:kern w:val="0"/>
                <w:sz w:val="24"/>
                <w:szCs w:val="24"/>
                <w:lang w:eastAsia="zh-CN" w:bidi="ar"/>
              </w:rPr>
              <w:t>账户人民币未到账前提前锁汇；、</w:t>
            </w:r>
          </w:p>
          <w:p w14:paraId="530FB3A0">
            <w:pPr>
              <w:keepNext w:val="0"/>
              <w:keepLines w:val="0"/>
              <w:pageBreakBefore w:val="0"/>
              <w:widowControl/>
              <w:numPr>
                <w:ilvl w:val="0"/>
                <w:numId w:val="2"/>
              </w:numPr>
              <w:kinsoku/>
              <w:wordWrap/>
              <w:overflowPunct/>
              <w:topLinePunct w:val="0"/>
              <w:autoSpaceDE/>
              <w:autoSpaceDN/>
              <w:bidi w:val="0"/>
              <w:adjustRightInd/>
              <w:snapToGrid w:val="0"/>
              <w:ind w:left="0" w:leftChars="0" w:firstLine="0" w:firstLineChars="0"/>
              <w:jc w:val="left"/>
              <w:textAlignment w:val="center"/>
              <w:rPr>
                <w:rFonts w:hint="default" w:ascii="方正楷体_GBK" w:hAnsi="方正楷体_GBK" w:eastAsia="方正楷体_GBK" w:cs="方正楷体_GBK"/>
                <w:color w:val="000000"/>
                <w:kern w:val="0"/>
                <w:sz w:val="24"/>
                <w:szCs w:val="24"/>
                <w:lang w:val="en-US" w:eastAsia="zh-CN" w:bidi="ar"/>
              </w:rPr>
            </w:pPr>
            <w:r>
              <w:rPr>
                <w:rFonts w:hint="eastAsia" w:ascii="方正楷体_GBK" w:hAnsi="方正楷体_GBK" w:eastAsia="方正楷体_GBK" w:cs="方正楷体_GBK"/>
                <w:color w:val="000000"/>
                <w:kern w:val="0"/>
                <w:sz w:val="24"/>
                <w:szCs w:val="24"/>
                <w:lang w:val="en-US" w:eastAsia="zh-CN" w:bidi="ar"/>
              </w:rPr>
              <w:t>可通过典型案例的形式说明自身优势</w:t>
            </w:r>
          </w:p>
        </w:tc>
      </w:tr>
      <w:tr w14:paraId="0034DD2F">
        <w:tblPrEx>
          <w:tblCellMar>
            <w:top w:w="0" w:type="dxa"/>
            <w:left w:w="108" w:type="dxa"/>
            <w:bottom w:w="0" w:type="dxa"/>
            <w:right w:w="108" w:type="dxa"/>
          </w:tblCellMar>
        </w:tblPrEx>
        <w:trPr>
          <w:trHeight w:val="54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5847B">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83BC6">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业务时效</w:t>
            </w:r>
          </w:p>
        </w:tc>
        <w:tc>
          <w:tcPr>
            <w:tcW w:w="37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F212B">
            <w:pPr>
              <w:keepNext w:val="0"/>
              <w:keepLines w:val="0"/>
              <w:pageBreakBefore w:val="0"/>
              <w:widowControl/>
              <w:numPr>
                <w:ilvl w:val="0"/>
                <w:numId w:val="3"/>
              </w:numPr>
              <w:kinsoku/>
              <w:wordWrap/>
              <w:overflowPunct/>
              <w:topLinePunct w:val="0"/>
              <w:autoSpaceDE/>
              <w:autoSpaceDN/>
              <w:bidi w:val="0"/>
              <w:adjustRightInd/>
              <w:snapToGrid w:val="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预计</w:t>
            </w:r>
            <w:r>
              <w:rPr>
                <w:rFonts w:hint="eastAsia" w:ascii="方正楷体_GBK" w:hAnsi="方正楷体_GBK" w:eastAsia="方正楷体_GBK" w:cs="方正楷体_GBK"/>
                <w:color w:val="000000"/>
                <w:sz w:val="24"/>
                <w:szCs w:val="24"/>
              </w:rPr>
              <w:t>各项手续所需的时间</w:t>
            </w:r>
            <w:r>
              <w:rPr>
                <w:rFonts w:hint="eastAsia" w:ascii="方正楷体_GBK" w:hAnsi="方正楷体_GBK" w:eastAsia="方正楷体_GBK" w:cs="方正楷体_GBK"/>
                <w:color w:val="000000"/>
                <w:sz w:val="24"/>
                <w:szCs w:val="24"/>
                <w:lang w:eastAsia="zh-CN"/>
              </w:rPr>
              <w:t>，</w:t>
            </w:r>
            <w:r>
              <w:rPr>
                <w:rFonts w:hint="eastAsia" w:ascii="方正楷体_GBK" w:hAnsi="方正楷体_GBK" w:eastAsia="方正楷体_GBK" w:cs="方正楷体_GBK"/>
                <w:color w:val="000000"/>
                <w:sz w:val="24"/>
                <w:szCs w:val="24"/>
                <w:lang w:val="en-US" w:eastAsia="zh-CN"/>
              </w:rPr>
              <w:t>是否配备专门人员对接，该人员的职务；</w:t>
            </w:r>
          </w:p>
          <w:p w14:paraId="72A48A3D">
            <w:pPr>
              <w:keepNext w:val="0"/>
              <w:keepLines w:val="0"/>
              <w:pageBreakBefore w:val="0"/>
              <w:widowControl/>
              <w:numPr>
                <w:ilvl w:val="0"/>
                <w:numId w:val="2"/>
              </w:numPr>
              <w:kinsoku/>
              <w:wordWrap/>
              <w:overflowPunct/>
              <w:topLinePunct w:val="0"/>
              <w:autoSpaceDE/>
              <w:autoSpaceDN/>
              <w:bidi w:val="0"/>
              <w:adjustRightInd/>
              <w:snapToGrid w:val="0"/>
              <w:ind w:left="0" w:leftChars="0" w:firstLine="0" w:firstLineChars="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2、承诺可于购汇当天完成支付（以交易对方收到款项为准），请综合考虑购汇总额、预约头寸、行内沟通机制、收款账户为</w:t>
            </w:r>
            <w:r>
              <w:rPr>
                <w:rFonts w:hint="eastAsia" w:ascii="方正楷体_GBK" w:hAnsi="方正楷体_GBK" w:eastAsia="方正楷体_GBK" w:cs="方正楷体_GBK"/>
                <w:color w:val="000000"/>
                <w:kern w:val="0"/>
                <w:sz w:val="24"/>
                <w:szCs w:val="24"/>
                <w:lang w:val="en-US" w:eastAsia="zh-CN" w:bidi="ar"/>
              </w:rPr>
              <w:t>NRA账户或境外银行账户是否有影响</w:t>
            </w:r>
            <w:r>
              <w:rPr>
                <w:rFonts w:hint="eastAsia" w:ascii="方正楷体_GBK" w:hAnsi="方正楷体_GBK" w:eastAsia="方正楷体_GBK" w:cs="方正楷体_GBK"/>
                <w:color w:val="000000"/>
                <w:sz w:val="24"/>
                <w:szCs w:val="24"/>
                <w:lang w:val="en-US" w:eastAsia="zh-CN"/>
              </w:rPr>
              <w:t>等，若承诺的时效实际未达成的，产业集团将暂停与其合作3个月；</w:t>
            </w:r>
          </w:p>
          <w:p w14:paraId="5B261290">
            <w:pPr>
              <w:keepNext w:val="0"/>
              <w:keepLines w:val="0"/>
              <w:pageBreakBefore w:val="0"/>
              <w:widowControl/>
              <w:numPr>
                <w:ilvl w:val="0"/>
                <w:numId w:val="0"/>
              </w:numPr>
              <w:kinsoku/>
              <w:wordWrap/>
              <w:overflowPunct/>
              <w:topLinePunct w:val="0"/>
              <w:autoSpaceDE/>
              <w:autoSpaceDN/>
              <w:bidi w:val="0"/>
              <w:adjustRightInd/>
              <w:snapToGrid w:val="0"/>
              <w:jc w:val="left"/>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3、2023年1月以来是否有单笔购汇并</w:t>
            </w:r>
            <w:bookmarkStart w:id="0" w:name="_GoBack"/>
            <w:bookmarkEnd w:id="0"/>
            <w:r>
              <w:rPr>
                <w:rFonts w:hint="eastAsia" w:ascii="方正楷体_GBK" w:hAnsi="方正楷体_GBK" w:eastAsia="方正楷体_GBK" w:cs="方正楷体_GBK"/>
                <w:color w:val="000000"/>
                <w:sz w:val="24"/>
                <w:szCs w:val="24"/>
                <w:lang w:val="en-US" w:eastAsia="zh-CN"/>
              </w:rPr>
              <w:t>于当天完成支付的超1亿美元和5000万港币的案例（需提供相应证明）</w:t>
            </w:r>
          </w:p>
        </w:tc>
      </w:tr>
      <w:tr w14:paraId="62C3DB18">
        <w:tblPrEx>
          <w:tblCellMar>
            <w:top w:w="0" w:type="dxa"/>
            <w:left w:w="108" w:type="dxa"/>
            <w:bottom w:w="0" w:type="dxa"/>
            <w:right w:w="108" w:type="dxa"/>
          </w:tblCellMar>
        </w:tblPrEx>
        <w:trPr>
          <w:trHeight w:val="683"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5F832">
            <w:pPr>
              <w:widowControl/>
              <w:jc w:val="center"/>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F3868">
            <w:pPr>
              <w:widowControl/>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收费情况</w:t>
            </w:r>
          </w:p>
        </w:tc>
        <w:tc>
          <w:tcPr>
            <w:tcW w:w="37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3D65F">
            <w:pPr>
              <w:keepNext w:val="0"/>
              <w:keepLines w:val="0"/>
              <w:pageBreakBefore w:val="0"/>
              <w:widowControl/>
              <w:kinsoku/>
              <w:wordWrap/>
              <w:overflowPunct/>
              <w:topLinePunct w:val="0"/>
              <w:autoSpaceDE/>
              <w:autoSpaceDN/>
              <w:bidi w:val="0"/>
              <w:adjustRightInd/>
              <w:snapToGrid w:val="0"/>
              <w:jc w:val="left"/>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说明</w:t>
            </w:r>
            <w:r>
              <w:rPr>
                <w:rFonts w:hint="eastAsia" w:ascii="方正楷体_GBK" w:hAnsi="方正楷体_GBK" w:eastAsia="方正楷体_GBK" w:cs="方正楷体_GBK"/>
                <w:color w:val="000000"/>
                <w:sz w:val="24"/>
                <w:szCs w:val="24"/>
                <w:lang w:val="en-US" w:eastAsia="zh-CN"/>
              </w:rPr>
              <w:t>办理购汇业务</w:t>
            </w:r>
            <w:r>
              <w:rPr>
                <w:rFonts w:hint="eastAsia" w:ascii="方正楷体_GBK" w:hAnsi="方正楷体_GBK" w:eastAsia="方正楷体_GBK" w:cs="方正楷体_GBK"/>
                <w:color w:val="000000"/>
                <w:sz w:val="24"/>
                <w:szCs w:val="24"/>
              </w:rPr>
              <w:t>相关收费情况</w:t>
            </w:r>
          </w:p>
        </w:tc>
      </w:tr>
    </w:tbl>
    <w:p w14:paraId="6FA8C29A">
      <w:pPr>
        <w:spacing w:line="600" w:lineRule="exact"/>
        <w:rPr>
          <w:rFonts w:hint="default" w:ascii="仿宋" w:hAnsi="仿宋" w:eastAsia="仿宋"/>
          <w:sz w:val="30"/>
          <w:szCs w:val="30"/>
          <w:lang w:val="en-US" w:eastAsia="zh-CN"/>
        </w:rPr>
      </w:pPr>
    </w:p>
    <w:p w14:paraId="3EF4309A">
      <w:pPr>
        <w:spacing w:line="60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615B"/>
    <w:multiLevelType w:val="singleLevel"/>
    <w:tmpl w:val="90FB615B"/>
    <w:lvl w:ilvl="0" w:tentative="0">
      <w:start w:val="1"/>
      <w:numFmt w:val="decimal"/>
      <w:suff w:val="nothing"/>
      <w:lvlText w:val="%1、"/>
      <w:lvlJc w:val="left"/>
    </w:lvl>
  </w:abstractNum>
  <w:abstractNum w:abstractNumId="1">
    <w:nsid w:val="CD9711A2"/>
    <w:multiLevelType w:val="singleLevel"/>
    <w:tmpl w:val="CD9711A2"/>
    <w:lvl w:ilvl="0" w:tentative="0">
      <w:start w:val="1"/>
      <w:numFmt w:val="decimal"/>
      <w:suff w:val="nothing"/>
      <w:lvlText w:val="%1、"/>
      <w:lvlJc w:val="left"/>
    </w:lvl>
  </w:abstractNum>
  <w:abstractNum w:abstractNumId="2">
    <w:nsid w:val="78767092"/>
    <w:multiLevelType w:val="singleLevel"/>
    <w:tmpl w:val="7876709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2JjZjhlYzU5OTZiNjdkZDBmNTdlNDQyNzQ0YTMifQ=="/>
  </w:docVars>
  <w:rsids>
    <w:rsidRoot w:val="001966D5"/>
    <w:rsid w:val="000121B3"/>
    <w:rsid w:val="00013B0A"/>
    <w:rsid w:val="0003291C"/>
    <w:rsid w:val="000352A4"/>
    <w:rsid w:val="0004605C"/>
    <w:rsid w:val="000641F4"/>
    <w:rsid w:val="0006799D"/>
    <w:rsid w:val="0007264B"/>
    <w:rsid w:val="00081903"/>
    <w:rsid w:val="0009026F"/>
    <w:rsid w:val="00095536"/>
    <w:rsid w:val="000A2311"/>
    <w:rsid w:val="000A6175"/>
    <w:rsid w:val="000B2F1A"/>
    <w:rsid w:val="000B6127"/>
    <w:rsid w:val="000C1804"/>
    <w:rsid w:val="000C1F5B"/>
    <w:rsid w:val="000D3640"/>
    <w:rsid w:val="000F2C45"/>
    <w:rsid w:val="00101590"/>
    <w:rsid w:val="00102B6A"/>
    <w:rsid w:val="00103526"/>
    <w:rsid w:val="00120AAF"/>
    <w:rsid w:val="00133A4D"/>
    <w:rsid w:val="00135171"/>
    <w:rsid w:val="00137F03"/>
    <w:rsid w:val="00161D9A"/>
    <w:rsid w:val="00170A66"/>
    <w:rsid w:val="00185CE7"/>
    <w:rsid w:val="00186583"/>
    <w:rsid w:val="00195ECD"/>
    <w:rsid w:val="001966D5"/>
    <w:rsid w:val="001D38B0"/>
    <w:rsid w:val="001D47CC"/>
    <w:rsid w:val="001E385E"/>
    <w:rsid w:val="001E55EC"/>
    <w:rsid w:val="001E689D"/>
    <w:rsid w:val="002027D6"/>
    <w:rsid w:val="0020566E"/>
    <w:rsid w:val="00214690"/>
    <w:rsid w:val="002331B4"/>
    <w:rsid w:val="00246A03"/>
    <w:rsid w:val="00267DA2"/>
    <w:rsid w:val="00295CC4"/>
    <w:rsid w:val="00297E6E"/>
    <w:rsid w:val="002A0B8E"/>
    <w:rsid w:val="002C0B05"/>
    <w:rsid w:val="002C5262"/>
    <w:rsid w:val="002E58AC"/>
    <w:rsid w:val="002F047D"/>
    <w:rsid w:val="00312F18"/>
    <w:rsid w:val="00316572"/>
    <w:rsid w:val="0032357E"/>
    <w:rsid w:val="003270F5"/>
    <w:rsid w:val="00346C65"/>
    <w:rsid w:val="0035744B"/>
    <w:rsid w:val="00367E71"/>
    <w:rsid w:val="00374CD2"/>
    <w:rsid w:val="00380B31"/>
    <w:rsid w:val="00382B55"/>
    <w:rsid w:val="00386953"/>
    <w:rsid w:val="00386E95"/>
    <w:rsid w:val="003912DD"/>
    <w:rsid w:val="003A1C16"/>
    <w:rsid w:val="003A5F0B"/>
    <w:rsid w:val="003A6B66"/>
    <w:rsid w:val="003A6D98"/>
    <w:rsid w:val="003C52AE"/>
    <w:rsid w:val="003D2D78"/>
    <w:rsid w:val="003E0B77"/>
    <w:rsid w:val="003E1AD7"/>
    <w:rsid w:val="003E34C2"/>
    <w:rsid w:val="003E7A5B"/>
    <w:rsid w:val="003F2AC0"/>
    <w:rsid w:val="00410871"/>
    <w:rsid w:val="004130C7"/>
    <w:rsid w:val="00417F76"/>
    <w:rsid w:val="00442207"/>
    <w:rsid w:val="00444855"/>
    <w:rsid w:val="00450939"/>
    <w:rsid w:val="004552D2"/>
    <w:rsid w:val="0046334A"/>
    <w:rsid w:val="004836D6"/>
    <w:rsid w:val="00487F48"/>
    <w:rsid w:val="004946FD"/>
    <w:rsid w:val="0049672C"/>
    <w:rsid w:val="004A7364"/>
    <w:rsid w:val="004B3879"/>
    <w:rsid w:val="004B6C8D"/>
    <w:rsid w:val="004C48BE"/>
    <w:rsid w:val="004C4968"/>
    <w:rsid w:val="004C5E8F"/>
    <w:rsid w:val="004D7013"/>
    <w:rsid w:val="004F1A0A"/>
    <w:rsid w:val="004F2AEA"/>
    <w:rsid w:val="00504072"/>
    <w:rsid w:val="00516157"/>
    <w:rsid w:val="005225A8"/>
    <w:rsid w:val="00533995"/>
    <w:rsid w:val="00556876"/>
    <w:rsid w:val="005633B9"/>
    <w:rsid w:val="0056346A"/>
    <w:rsid w:val="005658A3"/>
    <w:rsid w:val="005747AC"/>
    <w:rsid w:val="005930F0"/>
    <w:rsid w:val="00597F75"/>
    <w:rsid w:val="005A2261"/>
    <w:rsid w:val="005A3BF8"/>
    <w:rsid w:val="005A5051"/>
    <w:rsid w:val="005A6631"/>
    <w:rsid w:val="005B49A8"/>
    <w:rsid w:val="005F0819"/>
    <w:rsid w:val="00610B9A"/>
    <w:rsid w:val="00615D8E"/>
    <w:rsid w:val="006234ED"/>
    <w:rsid w:val="00635C9C"/>
    <w:rsid w:val="00691601"/>
    <w:rsid w:val="00692063"/>
    <w:rsid w:val="00692C94"/>
    <w:rsid w:val="006A421F"/>
    <w:rsid w:val="006B080C"/>
    <w:rsid w:val="006B5655"/>
    <w:rsid w:val="006C47D6"/>
    <w:rsid w:val="006C63AB"/>
    <w:rsid w:val="006C6611"/>
    <w:rsid w:val="006F047C"/>
    <w:rsid w:val="006F20B0"/>
    <w:rsid w:val="006F2335"/>
    <w:rsid w:val="006F31E9"/>
    <w:rsid w:val="006F4283"/>
    <w:rsid w:val="007008E4"/>
    <w:rsid w:val="007009FA"/>
    <w:rsid w:val="00733883"/>
    <w:rsid w:val="0076491F"/>
    <w:rsid w:val="00774A37"/>
    <w:rsid w:val="00782EB3"/>
    <w:rsid w:val="007854E3"/>
    <w:rsid w:val="007A144C"/>
    <w:rsid w:val="007A4720"/>
    <w:rsid w:val="007A6469"/>
    <w:rsid w:val="007A6749"/>
    <w:rsid w:val="007B1211"/>
    <w:rsid w:val="007B3A8D"/>
    <w:rsid w:val="007C32C8"/>
    <w:rsid w:val="007E4C02"/>
    <w:rsid w:val="007F12E0"/>
    <w:rsid w:val="008373A2"/>
    <w:rsid w:val="00844B85"/>
    <w:rsid w:val="00853DB3"/>
    <w:rsid w:val="00855A63"/>
    <w:rsid w:val="00856F45"/>
    <w:rsid w:val="00863B51"/>
    <w:rsid w:val="00864FF1"/>
    <w:rsid w:val="00872910"/>
    <w:rsid w:val="00881A41"/>
    <w:rsid w:val="00883D81"/>
    <w:rsid w:val="00884BDE"/>
    <w:rsid w:val="00884FF8"/>
    <w:rsid w:val="00885253"/>
    <w:rsid w:val="00890B10"/>
    <w:rsid w:val="008B553C"/>
    <w:rsid w:val="008C11BA"/>
    <w:rsid w:val="008D52D0"/>
    <w:rsid w:val="008E4476"/>
    <w:rsid w:val="008F3A17"/>
    <w:rsid w:val="00910FF4"/>
    <w:rsid w:val="00914120"/>
    <w:rsid w:val="009141A5"/>
    <w:rsid w:val="00914363"/>
    <w:rsid w:val="00916D5A"/>
    <w:rsid w:val="00920222"/>
    <w:rsid w:val="00920734"/>
    <w:rsid w:val="00921487"/>
    <w:rsid w:val="00924C9F"/>
    <w:rsid w:val="00935BE1"/>
    <w:rsid w:val="009360C5"/>
    <w:rsid w:val="009362CC"/>
    <w:rsid w:val="00950DCB"/>
    <w:rsid w:val="00955E35"/>
    <w:rsid w:val="0097197A"/>
    <w:rsid w:val="009811A4"/>
    <w:rsid w:val="009B2BD7"/>
    <w:rsid w:val="009D678F"/>
    <w:rsid w:val="009F1ED9"/>
    <w:rsid w:val="00A003CE"/>
    <w:rsid w:val="00A1291E"/>
    <w:rsid w:val="00A1316F"/>
    <w:rsid w:val="00A27DC2"/>
    <w:rsid w:val="00A342D1"/>
    <w:rsid w:val="00A45B2B"/>
    <w:rsid w:val="00A45C55"/>
    <w:rsid w:val="00A501E3"/>
    <w:rsid w:val="00A62703"/>
    <w:rsid w:val="00A708A7"/>
    <w:rsid w:val="00A71AC7"/>
    <w:rsid w:val="00A731E2"/>
    <w:rsid w:val="00A92D31"/>
    <w:rsid w:val="00A94528"/>
    <w:rsid w:val="00A95B9D"/>
    <w:rsid w:val="00A962F5"/>
    <w:rsid w:val="00AA61C6"/>
    <w:rsid w:val="00AB54FD"/>
    <w:rsid w:val="00AC114B"/>
    <w:rsid w:val="00AC32C9"/>
    <w:rsid w:val="00AD3BB7"/>
    <w:rsid w:val="00AD634C"/>
    <w:rsid w:val="00AE465B"/>
    <w:rsid w:val="00AF2B7D"/>
    <w:rsid w:val="00B03B79"/>
    <w:rsid w:val="00B04021"/>
    <w:rsid w:val="00B20F4A"/>
    <w:rsid w:val="00B238DE"/>
    <w:rsid w:val="00B24303"/>
    <w:rsid w:val="00B25163"/>
    <w:rsid w:val="00B31D6A"/>
    <w:rsid w:val="00B354B5"/>
    <w:rsid w:val="00B44F35"/>
    <w:rsid w:val="00B649B0"/>
    <w:rsid w:val="00B6770B"/>
    <w:rsid w:val="00B701C4"/>
    <w:rsid w:val="00B73F11"/>
    <w:rsid w:val="00B82DEC"/>
    <w:rsid w:val="00BC18C6"/>
    <w:rsid w:val="00BF0E19"/>
    <w:rsid w:val="00BF52BD"/>
    <w:rsid w:val="00BF75F3"/>
    <w:rsid w:val="00C05223"/>
    <w:rsid w:val="00C07CF1"/>
    <w:rsid w:val="00C154BB"/>
    <w:rsid w:val="00C164BC"/>
    <w:rsid w:val="00C249C8"/>
    <w:rsid w:val="00C5016E"/>
    <w:rsid w:val="00C65571"/>
    <w:rsid w:val="00C67502"/>
    <w:rsid w:val="00C82410"/>
    <w:rsid w:val="00C844ED"/>
    <w:rsid w:val="00C86879"/>
    <w:rsid w:val="00C94DE8"/>
    <w:rsid w:val="00CA71A0"/>
    <w:rsid w:val="00CA7A1D"/>
    <w:rsid w:val="00CB1AF8"/>
    <w:rsid w:val="00CC0423"/>
    <w:rsid w:val="00CC0745"/>
    <w:rsid w:val="00CD31B3"/>
    <w:rsid w:val="00CD7A36"/>
    <w:rsid w:val="00CE5DC6"/>
    <w:rsid w:val="00D33EB5"/>
    <w:rsid w:val="00D35D3B"/>
    <w:rsid w:val="00D42BD8"/>
    <w:rsid w:val="00D44AAC"/>
    <w:rsid w:val="00D46180"/>
    <w:rsid w:val="00D50733"/>
    <w:rsid w:val="00D54BD1"/>
    <w:rsid w:val="00D618A9"/>
    <w:rsid w:val="00D777AF"/>
    <w:rsid w:val="00D9276D"/>
    <w:rsid w:val="00DA48B8"/>
    <w:rsid w:val="00DB75D2"/>
    <w:rsid w:val="00DC5993"/>
    <w:rsid w:val="00DC775F"/>
    <w:rsid w:val="00DD3BB0"/>
    <w:rsid w:val="00DE001F"/>
    <w:rsid w:val="00E0311C"/>
    <w:rsid w:val="00E10F51"/>
    <w:rsid w:val="00E2186D"/>
    <w:rsid w:val="00E37756"/>
    <w:rsid w:val="00E65AF4"/>
    <w:rsid w:val="00E67D2D"/>
    <w:rsid w:val="00E734DE"/>
    <w:rsid w:val="00E73810"/>
    <w:rsid w:val="00E77705"/>
    <w:rsid w:val="00E903EA"/>
    <w:rsid w:val="00E918D0"/>
    <w:rsid w:val="00E9672F"/>
    <w:rsid w:val="00EA2493"/>
    <w:rsid w:val="00EA26D7"/>
    <w:rsid w:val="00EA58AD"/>
    <w:rsid w:val="00EA60C6"/>
    <w:rsid w:val="00EB4F25"/>
    <w:rsid w:val="00EC283F"/>
    <w:rsid w:val="00EC4252"/>
    <w:rsid w:val="00EC613C"/>
    <w:rsid w:val="00EC6460"/>
    <w:rsid w:val="00ED2F6D"/>
    <w:rsid w:val="00EE1D15"/>
    <w:rsid w:val="00EE23BF"/>
    <w:rsid w:val="00EF0805"/>
    <w:rsid w:val="00EF3EA8"/>
    <w:rsid w:val="00EF4486"/>
    <w:rsid w:val="00EF5CA2"/>
    <w:rsid w:val="00EF76CD"/>
    <w:rsid w:val="00F04D8E"/>
    <w:rsid w:val="00F15C71"/>
    <w:rsid w:val="00F3419D"/>
    <w:rsid w:val="00F3750C"/>
    <w:rsid w:val="00F37D17"/>
    <w:rsid w:val="00F42844"/>
    <w:rsid w:val="00F44BFC"/>
    <w:rsid w:val="00F47FC8"/>
    <w:rsid w:val="00F51F42"/>
    <w:rsid w:val="00F5492B"/>
    <w:rsid w:val="00F57A49"/>
    <w:rsid w:val="00F6706A"/>
    <w:rsid w:val="00F7267B"/>
    <w:rsid w:val="00F726EE"/>
    <w:rsid w:val="00F739F1"/>
    <w:rsid w:val="00F82CFF"/>
    <w:rsid w:val="00F915C0"/>
    <w:rsid w:val="00F9274C"/>
    <w:rsid w:val="00FB2ECA"/>
    <w:rsid w:val="00FC3D4E"/>
    <w:rsid w:val="02467A44"/>
    <w:rsid w:val="02C9769B"/>
    <w:rsid w:val="05B5202F"/>
    <w:rsid w:val="05C0366A"/>
    <w:rsid w:val="06982838"/>
    <w:rsid w:val="07035F04"/>
    <w:rsid w:val="079E79DA"/>
    <w:rsid w:val="07D442F0"/>
    <w:rsid w:val="0963712E"/>
    <w:rsid w:val="09840E52"/>
    <w:rsid w:val="0A5D3B7D"/>
    <w:rsid w:val="0B0E4E77"/>
    <w:rsid w:val="0B425187"/>
    <w:rsid w:val="0BCB0FBA"/>
    <w:rsid w:val="0C175FAD"/>
    <w:rsid w:val="0C41302A"/>
    <w:rsid w:val="0DED16BC"/>
    <w:rsid w:val="0DF20A80"/>
    <w:rsid w:val="0E124C7E"/>
    <w:rsid w:val="0ECC601D"/>
    <w:rsid w:val="0F152C78"/>
    <w:rsid w:val="0F3B1FB3"/>
    <w:rsid w:val="0F4C0664"/>
    <w:rsid w:val="10E70644"/>
    <w:rsid w:val="11C6025A"/>
    <w:rsid w:val="12040D82"/>
    <w:rsid w:val="122907E8"/>
    <w:rsid w:val="140E5EE8"/>
    <w:rsid w:val="15322192"/>
    <w:rsid w:val="15A703A2"/>
    <w:rsid w:val="15C727F2"/>
    <w:rsid w:val="16D276A1"/>
    <w:rsid w:val="16F2389F"/>
    <w:rsid w:val="17DF2075"/>
    <w:rsid w:val="183103F7"/>
    <w:rsid w:val="185D2F9A"/>
    <w:rsid w:val="18CB65A8"/>
    <w:rsid w:val="18E436BB"/>
    <w:rsid w:val="19324427"/>
    <w:rsid w:val="199005F8"/>
    <w:rsid w:val="1AF109C9"/>
    <w:rsid w:val="1C781707"/>
    <w:rsid w:val="1E4F7829"/>
    <w:rsid w:val="1F8D2032"/>
    <w:rsid w:val="23C93BD9"/>
    <w:rsid w:val="24961D0D"/>
    <w:rsid w:val="24AD7057"/>
    <w:rsid w:val="260158AC"/>
    <w:rsid w:val="26606466"/>
    <w:rsid w:val="266B71CA"/>
    <w:rsid w:val="26C03072"/>
    <w:rsid w:val="27351CB2"/>
    <w:rsid w:val="296C5733"/>
    <w:rsid w:val="29F666F3"/>
    <w:rsid w:val="2AA07F73"/>
    <w:rsid w:val="2B2D7144"/>
    <w:rsid w:val="2BAD5B8F"/>
    <w:rsid w:val="2E61338C"/>
    <w:rsid w:val="2E90103C"/>
    <w:rsid w:val="2F2B399A"/>
    <w:rsid w:val="2FFE2E5D"/>
    <w:rsid w:val="30F32296"/>
    <w:rsid w:val="31D16A7B"/>
    <w:rsid w:val="321C75CA"/>
    <w:rsid w:val="327318E0"/>
    <w:rsid w:val="32807B59"/>
    <w:rsid w:val="33F733E7"/>
    <w:rsid w:val="34164C19"/>
    <w:rsid w:val="34A22009"/>
    <w:rsid w:val="34C401D1"/>
    <w:rsid w:val="34F605A6"/>
    <w:rsid w:val="35BC1D32"/>
    <w:rsid w:val="35E86141"/>
    <w:rsid w:val="3655385F"/>
    <w:rsid w:val="373B6744"/>
    <w:rsid w:val="37942980"/>
    <w:rsid w:val="390E5EBF"/>
    <w:rsid w:val="391334D5"/>
    <w:rsid w:val="395104A1"/>
    <w:rsid w:val="3A1F40FB"/>
    <w:rsid w:val="3AEA4709"/>
    <w:rsid w:val="3B892174"/>
    <w:rsid w:val="3C37572C"/>
    <w:rsid w:val="3D51281E"/>
    <w:rsid w:val="3E9B4698"/>
    <w:rsid w:val="404623E2"/>
    <w:rsid w:val="40C61775"/>
    <w:rsid w:val="44054362"/>
    <w:rsid w:val="44F74772"/>
    <w:rsid w:val="45423BF4"/>
    <w:rsid w:val="45AA51C1"/>
    <w:rsid w:val="460C7C2A"/>
    <w:rsid w:val="46C2653A"/>
    <w:rsid w:val="46D06EA9"/>
    <w:rsid w:val="46D70238"/>
    <w:rsid w:val="4A056571"/>
    <w:rsid w:val="4A121587"/>
    <w:rsid w:val="4AB84DF0"/>
    <w:rsid w:val="4BC90885"/>
    <w:rsid w:val="4BD05255"/>
    <w:rsid w:val="4BF0032F"/>
    <w:rsid w:val="4C701D6F"/>
    <w:rsid w:val="4C8524E4"/>
    <w:rsid w:val="4CA4177C"/>
    <w:rsid w:val="4CC27294"/>
    <w:rsid w:val="4E3222E2"/>
    <w:rsid w:val="4E3C6BD2"/>
    <w:rsid w:val="4E895320"/>
    <w:rsid w:val="4EFE032C"/>
    <w:rsid w:val="4F8901C5"/>
    <w:rsid w:val="4FE439C5"/>
    <w:rsid w:val="50212524"/>
    <w:rsid w:val="51F37EF0"/>
    <w:rsid w:val="52A15B9E"/>
    <w:rsid w:val="5302663C"/>
    <w:rsid w:val="546649A9"/>
    <w:rsid w:val="550D3076"/>
    <w:rsid w:val="55C53951"/>
    <w:rsid w:val="56767BB1"/>
    <w:rsid w:val="56EA18C1"/>
    <w:rsid w:val="577613A7"/>
    <w:rsid w:val="57C06AC6"/>
    <w:rsid w:val="588673C8"/>
    <w:rsid w:val="591C1ADA"/>
    <w:rsid w:val="592E4D9C"/>
    <w:rsid w:val="59B71530"/>
    <w:rsid w:val="5AED7BD2"/>
    <w:rsid w:val="5B5E287E"/>
    <w:rsid w:val="5BC36B85"/>
    <w:rsid w:val="5C2F5FC8"/>
    <w:rsid w:val="5CD66444"/>
    <w:rsid w:val="5D4810F0"/>
    <w:rsid w:val="5D752101"/>
    <w:rsid w:val="5DB77D99"/>
    <w:rsid w:val="5DBF512A"/>
    <w:rsid w:val="5EE72758"/>
    <w:rsid w:val="5F663FF4"/>
    <w:rsid w:val="610C0686"/>
    <w:rsid w:val="612400C6"/>
    <w:rsid w:val="61EF2482"/>
    <w:rsid w:val="626764BC"/>
    <w:rsid w:val="648570CD"/>
    <w:rsid w:val="67A930D3"/>
    <w:rsid w:val="67B939B3"/>
    <w:rsid w:val="684D1CB0"/>
    <w:rsid w:val="69605A13"/>
    <w:rsid w:val="699F653B"/>
    <w:rsid w:val="6AA53816"/>
    <w:rsid w:val="6AC54B15"/>
    <w:rsid w:val="6B0A3E88"/>
    <w:rsid w:val="6B364C7D"/>
    <w:rsid w:val="6B533A81"/>
    <w:rsid w:val="6BD12BF8"/>
    <w:rsid w:val="6D735615"/>
    <w:rsid w:val="6DF36E56"/>
    <w:rsid w:val="6E9C573F"/>
    <w:rsid w:val="6EDF387E"/>
    <w:rsid w:val="6F3E05A4"/>
    <w:rsid w:val="6F54601A"/>
    <w:rsid w:val="6F63000B"/>
    <w:rsid w:val="70293003"/>
    <w:rsid w:val="70A628A5"/>
    <w:rsid w:val="71A16BC9"/>
    <w:rsid w:val="723D2D95"/>
    <w:rsid w:val="72930C07"/>
    <w:rsid w:val="72F62F44"/>
    <w:rsid w:val="73586874"/>
    <w:rsid w:val="73781BAB"/>
    <w:rsid w:val="73B928EF"/>
    <w:rsid w:val="73C05A2C"/>
    <w:rsid w:val="77381D7D"/>
    <w:rsid w:val="775841CD"/>
    <w:rsid w:val="77A85155"/>
    <w:rsid w:val="78925B44"/>
    <w:rsid w:val="78B33DB1"/>
    <w:rsid w:val="78E421BD"/>
    <w:rsid w:val="795A5FDB"/>
    <w:rsid w:val="7AD9673C"/>
    <w:rsid w:val="7ADD3367"/>
    <w:rsid w:val="7AF20495"/>
    <w:rsid w:val="7B3D3E06"/>
    <w:rsid w:val="7B881ADD"/>
    <w:rsid w:val="7BF07857"/>
    <w:rsid w:val="7C286864"/>
    <w:rsid w:val="7C4D3942"/>
    <w:rsid w:val="7CC0084B"/>
    <w:rsid w:val="7CC83BA3"/>
    <w:rsid w:val="7D3F20B7"/>
    <w:rsid w:val="7D697134"/>
    <w:rsid w:val="7E1352F2"/>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字符"/>
    <w:basedOn w:val="8"/>
    <w:link w:val="3"/>
    <w:semiHidden/>
    <w:qFormat/>
    <w:uiPriority w:val="99"/>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font51"/>
    <w:basedOn w:val="8"/>
    <w:qFormat/>
    <w:uiPriority w:val="0"/>
    <w:rPr>
      <w:rFonts w:hint="default" w:ascii="Times New Roman" w:hAnsi="Times New Roman" w:cs="Times New Roman"/>
      <w:color w:val="000000"/>
      <w:sz w:val="20"/>
      <w:szCs w:val="20"/>
      <w:u w:val="none"/>
    </w:rPr>
  </w:style>
  <w:style w:type="character" w:customStyle="1" w:styleId="14">
    <w:name w:val="font11"/>
    <w:basedOn w:val="8"/>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67B3-9CF7-4E12-9D8A-0172F1CA219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536</Words>
  <Characters>545</Characters>
  <Lines>1</Lines>
  <Paragraphs>1</Paragraphs>
  <TotalTime>0</TotalTime>
  <ScaleCrop>false</ScaleCrop>
  <LinksUpToDate>false</LinksUpToDate>
  <CharactersWithSpaces>550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2023-09-07T02:09:00Z</dcterms:created>
  <dc:creator>孙奕</dc:creator>
  <cp:lastModifiedBy>llcf</cp:lastModifiedBy>
  <cp:lastPrinted>2020-11-10T01:48:00Z</cp:lastPrinted>
  <dcterms:modified xsi:type="dcterms:W3CDTF">2024-08-14T05:26:34Z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17BE0F7006994F9BAB8255B8917528C4</vt:lpwstr>
  </property>
</Properties>
</file>